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4C4287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386F84">
        <w:rPr>
          <w:rFonts w:ascii="Arial" w:eastAsia="Calibri" w:hAnsi="Arial" w:cs="Arial"/>
          <w:color w:val="000000" w:themeColor="text1"/>
        </w:rPr>
        <w:t>86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386F84" w:rsidRDefault="006148AF" w:rsidP="007A7D5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386F84">
        <w:rPr>
          <w:rFonts w:ascii="Arial" w:hAnsi="Arial" w:cs="Arial"/>
          <w:b/>
          <w:sz w:val="32"/>
          <w:szCs w:val="32"/>
        </w:rPr>
        <w:t>от 04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386F84">
        <w:rPr>
          <w:rFonts w:ascii="Arial" w:hAnsi="Arial" w:cs="Arial"/>
          <w:b/>
          <w:sz w:val="32"/>
          <w:szCs w:val="32"/>
        </w:rPr>
        <w:t>07.2016 г. № 59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386F84">
        <w:rPr>
          <w:rFonts w:ascii="Arial" w:hAnsi="Arial" w:cs="Arial"/>
          <w:b/>
          <w:bCs/>
          <w:color w:val="000000"/>
          <w:sz w:val="32"/>
          <w:szCs w:val="32"/>
        </w:rPr>
        <w:t>«Предоставление жилых помещений муниципального специализированного жилищного фонда» (в</w:t>
      </w:r>
      <w:r w:rsidR="00386F84" w:rsidRPr="00386F84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31)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386F84" w:rsidRDefault="00C1021F" w:rsidP="00F32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386F84">
        <w:rPr>
          <w:rFonts w:ascii="Arial" w:hAnsi="Arial" w:cs="Arial"/>
        </w:rPr>
        <w:t xml:space="preserve">1. </w:t>
      </w:r>
      <w:r w:rsidR="001A022F" w:rsidRPr="00386F84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386F84">
        <w:rPr>
          <w:rFonts w:ascii="Arial" w:hAnsi="Arial" w:cs="Arial"/>
        </w:rPr>
        <w:t>Хрещатовского</w:t>
      </w:r>
      <w:proofErr w:type="spellEnd"/>
      <w:r w:rsidR="001A022F" w:rsidRPr="00386F84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A5ABD" w:rsidRPr="00386F84">
        <w:rPr>
          <w:rFonts w:ascii="Arial" w:hAnsi="Arial" w:cs="Arial"/>
        </w:rPr>
        <w:t xml:space="preserve"> </w:t>
      </w:r>
      <w:r w:rsidR="00386F84" w:rsidRPr="00386F84">
        <w:rPr>
          <w:rFonts w:ascii="Arial" w:hAnsi="Arial" w:cs="Arial"/>
        </w:rPr>
        <w:t>от 04.07.2016 г. № 59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 (в ред. пост. от 15.04.2019 № 31)</w:t>
      </w:r>
      <w:r w:rsidR="00F323CD" w:rsidRPr="00386F84">
        <w:rPr>
          <w:rFonts w:ascii="Arial" w:hAnsi="Arial" w:cs="Arial"/>
        </w:rPr>
        <w:t xml:space="preserve"> </w:t>
      </w:r>
      <w:r w:rsidR="001A022F" w:rsidRPr="00386F84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C4287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81960"/>
    <w:rsid w:val="00690112"/>
    <w:rsid w:val="006A5ABD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71D6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D919-2FD1-49AB-985A-EDA7AA72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dcterms:created xsi:type="dcterms:W3CDTF">2019-01-10T12:58:00Z</dcterms:created>
  <dcterms:modified xsi:type="dcterms:W3CDTF">2022-12-22T07:41:00Z</dcterms:modified>
</cp:coreProperties>
</file>