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E658F9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BB7E32">
        <w:rPr>
          <w:rFonts w:ascii="Arial" w:eastAsia="Calibri" w:hAnsi="Arial" w:cs="Arial"/>
          <w:color w:val="000000" w:themeColor="text1"/>
        </w:rPr>
        <w:t>80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BB7E32" w:rsidRDefault="006148AF" w:rsidP="007A7D53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BB7E32">
        <w:rPr>
          <w:rFonts w:ascii="Arial" w:hAnsi="Arial" w:cs="Arial"/>
          <w:b/>
          <w:sz w:val="32"/>
          <w:szCs w:val="32"/>
        </w:rPr>
        <w:t>от 30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BB7E32">
        <w:rPr>
          <w:rFonts w:ascii="Arial" w:hAnsi="Arial" w:cs="Arial"/>
          <w:b/>
          <w:sz w:val="32"/>
          <w:szCs w:val="32"/>
        </w:rPr>
        <w:t>03.2016 г. № 3</w:t>
      </w:r>
      <w:r w:rsidR="00E642AB">
        <w:rPr>
          <w:rFonts w:ascii="Arial" w:hAnsi="Arial" w:cs="Arial"/>
          <w:b/>
          <w:sz w:val="32"/>
          <w:szCs w:val="32"/>
        </w:rPr>
        <w:t>3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BB7E32">
        <w:rPr>
          <w:rFonts w:ascii="Arial" w:hAnsi="Arial" w:cs="Arial"/>
          <w:b/>
          <w:bCs/>
          <w:color w:val="000000"/>
          <w:sz w:val="32"/>
          <w:szCs w:val="32"/>
        </w:rPr>
        <w:t>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(в</w:t>
      </w:r>
      <w:r w:rsidR="00BB7E32" w:rsidRPr="00BB7E32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05.07.2016 № 64, от 15.04.2019 № 28)</w:t>
      </w:r>
    </w:p>
    <w:p w:rsidR="00B573CD" w:rsidRDefault="001A022F" w:rsidP="007A7D53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7438BA" w:rsidRDefault="00C1021F" w:rsidP="006348F0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7438BA">
        <w:rPr>
          <w:rFonts w:ascii="Arial" w:hAnsi="Arial" w:cs="Arial"/>
        </w:rPr>
        <w:t xml:space="preserve">1. </w:t>
      </w:r>
      <w:r w:rsidR="001A022F" w:rsidRPr="007438BA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7438BA">
        <w:rPr>
          <w:rFonts w:ascii="Arial" w:hAnsi="Arial" w:cs="Arial"/>
        </w:rPr>
        <w:t>Хрещатовского</w:t>
      </w:r>
      <w:proofErr w:type="spellEnd"/>
      <w:r w:rsidR="001A022F" w:rsidRPr="007438B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BB7E32" w:rsidRPr="00BB7E32">
        <w:t xml:space="preserve"> </w:t>
      </w:r>
      <w:r w:rsidR="00BB7E32" w:rsidRPr="00BB7E32">
        <w:rPr>
          <w:rFonts w:ascii="Arial" w:hAnsi="Arial" w:cs="Arial"/>
        </w:rPr>
        <w:t xml:space="preserve">от 30.03.2016 г. № 33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</w:t>
      </w:r>
      <w:r w:rsidR="00BB7E32" w:rsidRPr="00BB7E32">
        <w:rPr>
          <w:rFonts w:ascii="Arial" w:hAnsi="Arial" w:cs="Arial"/>
        </w:rPr>
        <w:lastRenderedPageBreak/>
        <w:t>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(в ред. пост. от 05.07.2016 № 64, от 15.04.2019 № 28)</w:t>
      </w:r>
      <w:r w:rsidR="00751A45" w:rsidRPr="007438BA">
        <w:rPr>
          <w:rFonts w:ascii="Arial" w:hAnsi="Arial" w:cs="Arial"/>
        </w:rPr>
        <w:t xml:space="preserve">  </w:t>
      </w:r>
      <w:r w:rsidR="001A022F" w:rsidRPr="007438BA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</w:t>
      </w:r>
      <w:r w:rsidRPr="00774309">
        <w:rPr>
          <w:rFonts w:ascii="Arial" w:hAnsi="Arial" w:cs="Arial"/>
          <w:color w:val="000000"/>
        </w:rPr>
        <w:lastRenderedPageBreak/>
        <w:t>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2B5CEB" w:rsidRPr="002D204C" w:rsidRDefault="002B5CEB" w:rsidP="00751A45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900BE"/>
    <w:rsid w:val="000A6FAB"/>
    <w:rsid w:val="000C4115"/>
    <w:rsid w:val="000D3AEC"/>
    <w:rsid w:val="000F0F6E"/>
    <w:rsid w:val="0013518C"/>
    <w:rsid w:val="0013692B"/>
    <w:rsid w:val="00145C8E"/>
    <w:rsid w:val="00182551"/>
    <w:rsid w:val="001A022F"/>
    <w:rsid w:val="001B5E04"/>
    <w:rsid w:val="00230476"/>
    <w:rsid w:val="002A6C7A"/>
    <w:rsid w:val="002B0502"/>
    <w:rsid w:val="002B5CEB"/>
    <w:rsid w:val="002C570C"/>
    <w:rsid w:val="002C6AF1"/>
    <w:rsid w:val="002D204C"/>
    <w:rsid w:val="002F6797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355B0"/>
    <w:rsid w:val="00543EBC"/>
    <w:rsid w:val="005A441E"/>
    <w:rsid w:val="005F41F7"/>
    <w:rsid w:val="0060230F"/>
    <w:rsid w:val="006148AF"/>
    <w:rsid w:val="006348F0"/>
    <w:rsid w:val="006731E1"/>
    <w:rsid w:val="00681960"/>
    <w:rsid w:val="00690112"/>
    <w:rsid w:val="006A78D3"/>
    <w:rsid w:val="006D01EA"/>
    <w:rsid w:val="006E3515"/>
    <w:rsid w:val="00705483"/>
    <w:rsid w:val="007116A2"/>
    <w:rsid w:val="007438BA"/>
    <w:rsid w:val="00751A45"/>
    <w:rsid w:val="007666F3"/>
    <w:rsid w:val="00774309"/>
    <w:rsid w:val="00775BC1"/>
    <w:rsid w:val="007A7D53"/>
    <w:rsid w:val="007D0078"/>
    <w:rsid w:val="008605F2"/>
    <w:rsid w:val="008656A8"/>
    <w:rsid w:val="00871758"/>
    <w:rsid w:val="008A0F74"/>
    <w:rsid w:val="008B26BB"/>
    <w:rsid w:val="00907F14"/>
    <w:rsid w:val="00940143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B7E3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E10A9"/>
    <w:rsid w:val="00D049DB"/>
    <w:rsid w:val="00D777E0"/>
    <w:rsid w:val="00DA3C33"/>
    <w:rsid w:val="00DD282B"/>
    <w:rsid w:val="00DF75C0"/>
    <w:rsid w:val="00E401A6"/>
    <w:rsid w:val="00E45C69"/>
    <w:rsid w:val="00E54E4B"/>
    <w:rsid w:val="00E61506"/>
    <w:rsid w:val="00E642AB"/>
    <w:rsid w:val="00E658F9"/>
    <w:rsid w:val="00EB4AB9"/>
    <w:rsid w:val="00EF07E4"/>
    <w:rsid w:val="00F0774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2C0E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1A12-7ABF-4E92-A9EC-B4287A73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124</cp:revision>
  <dcterms:created xsi:type="dcterms:W3CDTF">2019-01-10T12:58:00Z</dcterms:created>
  <dcterms:modified xsi:type="dcterms:W3CDTF">2022-12-22T07:35:00Z</dcterms:modified>
</cp:coreProperties>
</file>