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424794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472BE4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472BE4">
        <w:rPr>
          <w:rFonts w:ascii="Arial" w:eastAsia="Calibri" w:hAnsi="Arial" w:cs="Arial"/>
          <w:color w:val="000000" w:themeColor="text1"/>
        </w:rPr>
        <w:t>о</w:t>
      </w:r>
      <w:r w:rsidR="004D5ED8" w:rsidRPr="00472BE4">
        <w:rPr>
          <w:rFonts w:ascii="Arial" w:eastAsia="Calibri" w:hAnsi="Arial" w:cs="Arial"/>
          <w:color w:val="000000" w:themeColor="text1"/>
        </w:rPr>
        <w:t>т</w:t>
      </w:r>
      <w:r w:rsidR="002D204C" w:rsidRPr="00472BE4">
        <w:rPr>
          <w:rFonts w:ascii="Arial" w:eastAsia="Calibri" w:hAnsi="Arial" w:cs="Arial"/>
          <w:color w:val="000000" w:themeColor="text1"/>
        </w:rPr>
        <w:t xml:space="preserve"> </w:t>
      </w:r>
      <w:r w:rsidR="00075143" w:rsidRPr="00472BE4">
        <w:rPr>
          <w:rFonts w:ascii="Arial" w:eastAsia="Calibri" w:hAnsi="Arial" w:cs="Arial"/>
          <w:color w:val="000000" w:themeColor="text1"/>
        </w:rPr>
        <w:t>20</w:t>
      </w:r>
      <w:r w:rsidR="008256B3" w:rsidRPr="00472BE4">
        <w:rPr>
          <w:rFonts w:ascii="Arial" w:eastAsia="Calibri" w:hAnsi="Arial" w:cs="Arial"/>
          <w:color w:val="000000" w:themeColor="text1"/>
        </w:rPr>
        <w:t xml:space="preserve"> декабря </w:t>
      </w:r>
      <w:r w:rsidR="00EA503D" w:rsidRPr="00472BE4">
        <w:rPr>
          <w:rFonts w:ascii="Arial" w:eastAsia="Calibri" w:hAnsi="Arial" w:cs="Arial"/>
          <w:color w:val="000000" w:themeColor="text1"/>
        </w:rPr>
        <w:t>2022</w:t>
      </w:r>
      <w:r w:rsidR="002E456D" w:rsidRPr="00472BE4">
        <w:rPr>
          <w:rFonts w:ascii="Arial" w:eastAsia="Calibri" w:hAnsi="Arial" w:cs="Arial"/>
          <w:color w:val="000000" w:themeColor="text1"/>
        </w:rPr>
        <w:t xml:space="preserve"> г. № </w:t>
      </w:r>
      <w:r w:rsidR="00472BE4" w:rsidRPr="00472BE4">
        <w:rPr>
          <w:rFonts w:ascii="Arial" w:eastAsia="Calibri" w:hAnsi="Arial" w:cs="Arial"/>
          <w:color w:val="000000" w:themeColor="text1"/>
        </w:rPr>
        <w:t>71</w:t>
      </w:r>
    </w:p>
    <w:p w:rsidR="002D204C" w:rsidRDefault="00075143" w:rsidP="002D204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Хрещатое</w:t>
      </w:r>
    </w:p>
    <w:p w:rsidR="00FB6EAF" w:rsidRDefault="00FB6EAF" w:rsidP="002D204C">
      <w:pPr>
        <w:ind w:firstLine="709"/>
        <w:jc w:val="both"/>
        <w:rPr>
          <w:rFonts w:ascii="Arial" w:eastAsia="Calibri" w:hAnsi="Arial" w:cs="Arial"/>
        </w:rPr>
      </w:pPr>
    </w:p>
    <w:p w:rsidR="00966644" w:rsidRDefault="006148AF" w:rsidP="00FB6EAF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424794">
        <w:rPr>
          <w:rFonts w:ascii="Arial" w:hAnsi="Arial" w:cs="Arial"/>
          <w:b/>
          <w:sz w:val="32"/>
          <w:szCs w:val="32"/>
        </w:rPr>
        <w:t>Хрещатовского</w:t>
      </w:r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966644">
        <w:rPr>
          <w:rFonts w:ascii="Arial" w:hAnsi="Arial" w:cs="Arial"/>
          <w:b/>
          <w:sz w:val="32"/>
          <w:szCs w:val="32"/>
        </w:rPr>
        <w:t>от 04.07.</w:t>
      </w:r>
      <w:r w:rsidR="00C3129F">
        <w:rPr>
          <w:rFonts w:ascii="Arial" w:hAnsi="Arial" w:cs="Arial"/>
          <w:b/>
          <w:sz w:val="32"/>
          <w:szCs w:val="32"/>
        </w:rPr>
        <w:t>2016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г. № </w:t>
      </w:r>
      <w:r w:rsidR="00966644">
        <w:rPr>
          <w:rFonts w:ascii="Arial" w:hAnsi="Arial" w:cs="Arial"/>
          <w:b/>
          <w:sz w:val="32"/>
          <w:szCs w:val="32"/>
        </w:rPr>
        <w:t>54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</w:t>
      </w:r>
      <w:r w:rsidR="00966644">
        <w:rPr>
          <w:rFonts w:ascii="Arial" w:hAnsi="Arial" w:cs="Arial"/>
          <w:b/>
          <w:bCs/>
          <w:color w:val="000000"/>
          <w:sz w:val="32"/>
          <w:szCs w:val="32"/>
        </w:rPr>
        <w:t xml:space="preserve">«Включение в реестр многодетных граждан, имеющих право на бесплатное предоставление земельных участков» </w:t>
      </w:r>
      <w:r w:rsidR="00D94899">
        <w:rPr>
          <w:rFonts w:ascii="Arial" w:hAnsi="Arial" w:cs="Arial"/>
          <w:b/>
          <w:bCs/>
          <w:color w:val="000000"/>
          <w:sz w:val="32"/>
          <w:szCs w:val="32"/>
        </w:rPr>
        <w:t>(в</w:t>
      </w:r>
      <w:r w:rsidR="00D94899" w:rsidRPr="00D94899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31.05.2019 № 54, от 13.12.2019 № 113)</w:t>
      </w:r>
    </w:p>
    <w:p w:rsidR="00FB6EAF" w:rsidRDefault="001A022F" w:rsidP="00FB6EAF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В соответствии с Федеральными законами от 06.10.2003 г. № 131-ФЗ «Об </w:t>
      </w:r>
    </w:p>
    <w:p w:rsidR="00C1021F" w:rsidRDefault="001A022F" w:rsidP="00FB6EAF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r w:rsidR="00424794">
        <w:rPr>
          <w:rFonts w:ascii="Arial" w:hAnsi="Arial" w:cs="Arial"/>
        </w:rPr>
        <w:t>Хрещатовского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424794">
        <w:rPr>
          <w:rFonts w:ascii="Arial" w:hAnsi="Arial" w:cs="Arial"/>
        </w:rPr>
        <w:t>Хрещатовского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6148AF" w:rsidRDefault="00C1021F" w:rsidP="00193F9A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r w:rsidR="00424794">
        <w:rPr>
          <w:rFonts w:ascii="Arial" w:hAnsi="Arial" w:cs="Arial"/>
        </w:rPr>
        <w:t>Хрещатовского</w:t>
      </w:r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D94899" w:rsidRPr="00D94899">
        <w:t xml:space="preserve"> </w:t>
      </w:r>
      <w:r w:rsidR="00D94899" w:rsidRPr="00D94899">
        <w:rPr>
          <w:rFonts w:ascii="Arial" w:hAnsi="Arial" w:cs="Arial"/>
        </w:rPr>
        <w:t>от 04.07.2016 г. № 54 «Включение в реестр многодетных граждан, имеющих право на бесплатное предоставление земельных участков» (в ред. пост. от 31.05.2019 № 54, от 13.12.2019 № 113)</w:t>
      </w:r>
      <w:r w:rsidR="001A022F" w:rsidRPr="006148AF">
        <w:rPr>
          <w:rFonts w:ascii="Arial" w:hAnsi="Arial" w:cs="Arial"/>
        </w:rPr>
        <w:t xml:space="preserve"> </w:t>
      </w:r>
      <w:r w:rsidR="00193F9A" w:rsidRPr="00193F9A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EA503D" w:rsidRDefault="003D751C" w:rsidP="003D75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EA503D">
        <w:rPr>
          <w:rFonts w:ascii="Arial" w:hAnsi="Arial" w:cs="Arial"/>
        </w:rPr>
        <w:t>Раздел 5 «</w:t>
      </w:r>
      <w:r w:rsidR="00EA503D" w:rsidRPr="00EA503D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EA503D">
        <w:rPr>
          <w:rFonts w:ascii="Arial" w:hAnsi="Arial" w:cs="Arial"/>
        </w:rPr>
        <w:t>» изложить в следующей редакции: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A503D">
        <w:rPr>
          <w:rFonts w:ascii="Arial" w:hAnsi="Arial" w:cs="Arial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5.2. Заявитель может обратиться с жалобой в том числе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5.3. Заявители имеют право на получение информации, необходимой для обоснования и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5.4. Оснований для отказа в рассмотрении жалобы не имеется.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5.5. Основанием для начала процедуры досудебного (внесудебного) обжалования является поступившая жалоба.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</w:t>
      </w:r>
      <w:r w:rsidRPr="00EA503D">
        <w:rPr>
          <w:rFonts w:ascii="Arial" w:hAnsi="Arial" w:cs="Arial"/>
        </w:rPr>
        <w:lastRenderedPageBreak/>
        <w:t>(функций) либо Портала 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5.6. Жалоба должна содержать: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Глава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24794"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в удовлетворении жалобы отказывается.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</w:t>
      </w:r>
      <w:r w:rsidRPr="00EA503D">
        <w:rPr>
          <w:rFonts w:ascii="Arial" w:hAnsi="Arial" w:cs="Arial"/>
        </w:rPr>
        <w:lastRenderedPageBreak/>
        <w:t>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4) если обжалуемые действия являются правомерными.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424794">
        <w:rPr>
          <w:rFonts w:ascii="Arial" w:hAnsi="Arial" w:cs="Arial"/>
        </w:rPr>
        <w:t>Хрещатовского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8B4DB2" w:rsidRPr="002D204C" w:rsidRDefault="001A022F" w:rsidP="00472BE4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47"/>
        <w:gridCol w:w="2337"/>
      </w:tblGrid>
      <w:tr w:rsidR="006731E1" w:rsidRPr="002D204C" w:rsidTr="008B4DB2">
        <w:tc>
          <w:tcPr>
            <w:tcW w:w="5070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424794">
              <w:rPr>
                <w:rFonts w:ascii="Arial" w:hAnsi="Arial" w:cs="Arial"/>
                <w:sz w:val="24"/>
                <w:szCs w:val="24"/>
              </w:rPr>
              <w:t>Хрещатовского</w:t>
            </w:r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47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6731E1" w:rsidRPr="002D204C" w:rsidRDefault="00075143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</w:p>
        </w:tc>
      </w:tr>
    </w:tbl>
    <w:p w:rsidR="00972F80" w:rsidRPr="002D204C" w:rsidRDefault="00972F80" w:rsidP="00C505A2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35EDA"/>
    <w:rsid w:val="00043D56"/>
    <w:rsid w:val="00075143"/>
    <w:rsid w:val="000900BE"/>
    <w:rsid w:val="000A6FAB"/>
    <w:rsid w:val="000C4115"/>
    <w:rsid w:val="000F0F6E"/>
    <w:rsid w:val="000F3DF4"/>
    <w:rsid w:val="0013518C"/>
    <w:rsid w:val="00145C8E"/>
    <w:rsid w:val="00193F9A"/>
    <w:rsid w:val="001A022F"/>
    <w:rsid w:val="001A672D"/>
    <w:rsid w:val="001B5E04"/>
    <w:rsid w:val="00230476"/>
    <w:rsid w:val="002358C9"/>
    <w:rsid w:val="00235C80"/>
    <w:rsid w:val="002A6C7A"/>
    <w:rsid w:val="002B0502"/>
    <w:rsid w:val="002C6AF1"/>
    <w:rsid w:val="002D204C"/>
    <w:rsid w:val="002D2A44"/>
    <w:rsid w:val="002D726E"/>
    <w:rsid w:val="002E456D"/>
    <w:rsid w:val="003213F2"/>
    <w:rsid w:val="00325F07"/>
    <w:rsid w:val="00363893"/>
    <w:rsid w:val="00367C02"/>
    <w:rsid w:val="00390DD6"/>
    <w:rsid w:val="003A3EF5"/>
    <w:rsid w:val="003D1AC3"/>
    <w:rsid w:val="003D751C"/>
    <w:rsid w:val="003E3213"/>
    <w:rsid w:val="003F3F31"/>
    <w:rsid w:val="0041312D"/>
    <w:rsid w:val="00424794"/>
    <w:rsid w:val="0044110E"/>
    <w:rsid w:val="00467444"/>
    <w:rsid w:val="00472BE4"/>
    <w:rsid w:val="004B668B"/>
    <w:rsid w:val="004C0DDC"/>
    <w:rsid w:val="004C35DA"/>
    <w:rsid w:val="004C6E8E"/>
    <w:rsid w:val="004D5ED8"/>
    <w:rsid w:val="004D6FBD"/>
    <w:rsid w:val="00526AED"/>
    <w:rsid w:val="00543EBC"/>
    <w:rsid w:val="005863A6"/>
    <w:rsid w:val="005A08C0"/>
    <w:rsid w:val="005A441E"/>
    <w:rsid w:val="0060230F"/>
    <w:rsid w:val="006148AF"/>
    <w:rsid w:val="00643E25"/>
    <w:rsid w:val="006731E1"/>
    <w:rsid w:val="006A78D3"/>
    <w:rsid w:val="006D01EA"/>
    <w:rsid w:val="006D04FF"/>
    <w:rsid w:val="006E3515"/>
    <w:rsid w:val="00705483"/>
    <w:rsid w:val="007116A2"/>
    <w:rsid w:val="00723387"/>
    <w:rsid w:val="0073362D"/>
    <w:rsid w:val="00775BC1"/>
    <w:rsid w:val="008256B3"/>
    <w:rsid w:val="008605F2"/>
    <w:rsid w:val="008656A8"/>
    <w:rsid w:val="00871758"/>
    <w:rsid w:val="00893F71"/>
    <w:rsid w:val="008A0F74"/>
    <w:rsid w:val="008B26BB"/>
    <w:rsid w:val="008B4DB2"/>
    <w:rsid w:val="00907F14"/>
    <w:rsid w:val="00940143"/>
    <w:rsid w:val="00966644"/>
    <w:rsid w:val="00972F80"/>
    <w:rsid w:val="009B425D"/>
    <w:rsid w:val="009F0556"/>
    <w:rsid w:val="00A05994"/>
    <w:rsid w:val="00AB129A"/>
    <w:rsid w:val="00AC2B4E"/>
    <w:rsid w:val="00AE0A67"/>
    <w:rsid w:val="00B2369A"/>
    <w:rsid w:val="00B27CA9"/>
    <w:rsid w:val="00B4450B"/>
    <w:rsid w:val="00B5459D"/>
    <w:rsid w:val="00B57404"/>
    <w:rsid w:val="00B6789D"/>
    <w:rsid w:val="00B95029"/>
    <w:rsid w:val="00BB6B22"/>
    <w:rsid w:val="00C07A02"/>
    <w:rsid w:val="00C1021F"/>
    <w:rsid w:val="00C3129F"/>
    <w:rsid w:val="00C505A2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CF1AC2"/>
    <w:rsid w:val="00D5394D"/>
    <w:rsid w:val="00D72386"/>
    <w:rsid w:val="00D94899"/>
    <w:rsid w:val="00DA3C33"/>
    <w:rsid w:val="00DD282B"/>
    <w:rsid w:val="00DF75C0"/>
    <w:rsid w:val="00E033E4"/>
    <w:rsid w:val="00E401A6"/>
    <w:rsid w:val="00E45C69"/>
    <w:rsid w:val="00E54E4B"/>
    <w:rsid w:val="00E61506"/>
    <w:rsid w:val="00EA503D"/>
    <w:rsid w:val="00EF07E4"/>
    <w:rsid w:val="00F87AC7"/>
    <w:rsid w:val="00F96EC7"/>
    <w:rsid w:val="00FB6EAF"/>
    <w:rsid w:val="00FB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07BD"/>
  <w15:docId w15:val="{CB8C1614-1C16-4B00-8070-BA661F0F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A0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3A27A-EBA1-4DF4-B8D8-6146FDC0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133</cp:revision>
  <cp:lastPrinted>2022-12-19T13:09:00Z</cp:lastPrinted>
  <dcterms:created xsi:type="dcterms:W3CDTF">2019-01-10T12:58:00Z</dcterms:created>
  <dcterms:modified xsi:type="dcterms:W3CDTF">2022-12-19T13:10:00Z</dcterms:modified>
</cp:coreProperties>
</file>